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_rels/document.xml.rels" ContentType="application/vnd.openxmlformats-package.relationship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color w:val="000000"/>
        </w:rPr>
      </w:pPr>
      <w:r>
        <w:rPr>
          <w:rFonts w:cs="Times New Roman" w:ascii="Times New Roman" w:hAnsi="Times New Roman"/>
          <w:color w:val="000000"/>
          <w:sz w:val="28"/>
          <w:szCs w:val="28"/>
        </w:rPr>
        <w:t>ИНФОРМАЦИЯ ПО ВОПРОСУ № 3</w:t>
      </w:r>
    </w:p>
    <w:p>
      <w:pPr>
        <w:pStyle w:val="Normal"/>
        <w:spacing w:lineRule="auto" w:line="240" w:before="0" w:after="0"/>
        <w:jc w:val="center"/>
        <w:rPr/>
      </w:pPr>
      <w:r>
        <w:rPr>
          <w:rFonts w:cs="Times New Roman" w:ascii="Times New Roman" w:hAnsi="Times New Roman"/>
          <w:color w:val="000000"/>
          <w:sz w:val="28"/>
          <w:szCs w:val="28"/>
        </w:rPr>
        <w:t>"</w:t>
      </w:r>
      <w:r>
        <w:rPr>
          <w:rStyle w:val="11"/>
          <w:rFonts w:eastAsia="Times New Roman" w:cs="Times New Roman" w:ascii="Times New Roman" w:hAnsi="Times New Roman"/>
          <w:bCs/>
          <w:color w:val="000000"/>
          <w:spacing w:val="-2"/>
          <w:kern w:val="0"/>
          <w:sz w:val="28"/>
          <w:szCs w:val="28"/>
          <w:shd w:fill="auto" w:val="clear"/>
          <w:lang w:val="ru-RU" w:eastAsia="ru-RU" w:bidi="ar-SA"/>
        </w:rPr>
        <w:t>О рейтинге органов местного самоуправления Омской области по реализации механизмов поддержки социально ориентированных некоммерческих</w:t>
        <w:br/>
        <w:t xml:space="preserve">организаций (далее </w:t>
      </w:r>
      <w:r>
        <w:rPr>
          <w:rStyle w:val="11"/>
          <w:rFonts w:eastAsia="Calibri" w:cs="Times New Roman" w:ascii="Times New Roman" w:hAnsi="Times New Roman"/>
          <w:color w:val="000000"/>
          <w:kern w:val="0"/>
          <w:sz w:val="28"/>
          <w:szCs w:val="28"/>
          <w:shd w:fill="auto" w:val="clear"/>
          <w:lang w:val="ru-RU" w:eastAsia="en-US" w:bidi="ar-SA"/>
        </w:rPr>
        <w:t xml:space="preserve">– </w:t>
      </w:r>
      <w:r>
        <w:rPr>
          <w:rStyle w:val="11"/>
          <w:rFonts w:eastAsia="Times New Roman" w:cs="Times New Roman" w:ascii="Times New Roman" w:hAnsi="Times New Roman"/>
          <w:bCs/>
          <w:color w:val="000000"/>
          <w:spacing w:val="-2"/>
          <w:kern w:val="0"/>
          <w:sz w:val="28"/>
          <w:szCs w:val="28"/>
          <w:shd w:fill="auto" w:val="clear"/>
          <w:lang w:val="ru-RU" w:eastAsia="ru-RU" w:bidi="ar-SA"/>
        </w:rPr>
        <w:t>СОНКО), оказывающих населению услуги</w:t>
        <w:br/>
        <w:t>в социальной сфере</w:t>
      </w:r>
      <w:r>
        <w:rPr>
          <w:rFonts w:cs="Times New Roman" w:ascii="Times New Roman" w:hAnsi="Times New Roman"/>
          <w:color w:val="000000"/>
          <w:sz w:val="28"/>
          <w:szCs w:val="28"/>
        </w:rPr>
        <w:t>"</w:t>
      </w:r>
    </w:p>
    <w:p>
      <w:pPr>
        <w:pStyle w:val="Normal"/>
        <w:widowControl w:val="false"/>
        <w:suppressAutoHyphens w:val="true"/>
        <w:bidi w:val="0"/>
        <w:spacing w:lineRule="auto" w:line="240" w:before="0" w:after="0"/>
        <w:ind w:hanging="0" w:left="0" w:right="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 xml:space="preserve">Рейтинговая оценка органов местного самоуправления муниципальных районов Омской области (далее – ОМС) проводится </w:t>
      </w:r>
      <w:r>
        <w:rPr>
          <w:rFonts w:cs="Times New Roman" w:ascii="Times New Roman" w:hAnsi="Times New Roman"/>
          <w:color w:val="000000"/>
          <w:sz w:val="28"/>
          <w:szCs w:val="28"/>
        </w:rPr>
        <w:t xml:space="preserve"> </w:t>
      </w:r>
      <w:r>
        <w:rPr>
          <w:rFonts w:cs="Times New Roman" w:ascii="Times New Roman" w:hAnsi="Times New Roman"/>
          <w:color w:val="000000"/>
          <w:sz w:val="28"/>
          <w:szCs w:val="28"/>
          <w:lang w:val="ru-RU"/>
        </w:rPr>
        <w:t xml:space="preserve">ежегодно, </w:t>
      </w:r>
      <w:r>
        <w:rPr>
          <w:rFonts w:cs="Times New Roman" w:ascii="Times New Roman" w:hAnsi="Times New Roman"/>
          <w:color w:val="000000"/>
          <w:sz w:val="28"/>
          <w:szCs w:val="28"/>
        </w:rPr>
        <w:t xml:space="preserve">в целях оценки мер, принимаемых на местном уровне, по реализации механизмов поддержки </w:t>
      </w:r>
      <w:r>
        <w:rPr>
          <w:rFonts w:cs="Times New Roman" w:ascii="Times New Roman" w:hAnsi="Times New Roman"/>
          <w:color w:val="000000"/>
          <w:sz w:val="28"/>
          <w:szCs w:val="28"/>
          <w:lang w:val="ru-RU"/>
        </w:rPr>
        <w:t>СОНКО</w:t>
      </w:r>
      <w:r>
        <w:rPr>
          <w:rFonts w:cs="Times New Roman" w:ascii="Times New Roman" w:hAnsi="Times New Roman"/>
          <w:color w:val="000000"/>
          <w:sz w:val="28"/>
          <w:szCs w:val="28"/>
        </w:rPr>
        <w:t xml:space="preserve"> и социального </w:t>
      </w:r>
      <w:r>
        <w:rPr>
          <w:rFonts w:cs="Times New Roman" w:ascii="Times New Roman" w:hAnsi="Times New Roman"/>
          <w:color w:val="000000"/>
          <w:sz w:val="28"/>
          <w:szCs w:val="28"/>
          <w:lang w:val="ru-RU"/>
        </w:rPr>
        <w:t>предпринимательства, обеспечения доступа негосударственных организаций к предоставлению услуг в социальной сфере.</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С методическим руководством по проведению рейтинга, перечнем показателей можно ознакомиться, перейдя по ссылке: http://www.omskmintrud.ru/?sid=25162).</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Рейтинговая оценка рассчитывалась п</w:t>
      </w:r>
      <w:r>
        <w:rPr>
          <w:rFonts w:cs="Times New Roman" w:ascii="Times New Roman" w:hAnsi="Times New Roman"/>
          <w:color w:val="000000"/>
          <w:sz w:val="28"/>
          <w:szCs w:val="28"/>
          <w:shd w:fill="auto" w:val="clear"/>
          <w:lang w:val="ru-RU"/>
        </w:rPr>
        <w:t>о 18 показа</w:t>
      </w:r>
      <w:r>
        <w:rPr>
          <w:rFonts w:cs="Times New Roman" w:ascii="Times New Roman" w:hAnsi="Times New Roman"/>
          <w:color w:val="000000"/>
          <w:sz w:val="28"/>
          <w:szCs w:val="28"/>
          <w:lang w:val="ru-RU"/>
        </w:rPr>
        <w:t>телям.</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1. Реализация механизмов поддержки СОНКО и социальных предприятий:</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 "Наличие отдельной муниципальной программы (подпрограммы)</w:t>
        <w:br/>
        <w:t>по поддержке СОНКО (предусматривающей финансирование мероприятий</w:t>
        <w:br/>
        <w:t>по поддержке СОНКО и имеющей подтверждение кассового исполнения указанных мероприятий в отчетном году)" (да/нет);</w:t>
      </w:r>
    </w:p>
    <w:p>
      <w:pPr>
        <w:pStyle w:val="Style22"/>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 "Доля расходов местного бюджета, направляемых на предоставление субсидий СОНКО (в том числе за счет субсидии из областного бюджета, предоставленной органу местного самоуправления муниципального района Омской области в отчетном году на указанные цели), в общем объеме расходов бюджета муниципального района Омской области" (процентов);</w:t>
      </w:r>
    </w:p>
    <w:p>
      <w:pPr>
        <w:pStyle w:val="Style22"/>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 "Количество СОНКО, которым оказана финансовая поддержка из местного бюджета (в том числе за счет субсидии из областного бюджета, предоставленной органу местного самоуправления Омской области в отчетном году)" (единиц);</w:t>
      </w:r>
    </w:p>
    <w:p>
      <w:pPr>
        <w:pStyle w:val="Style22"/>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 "Наличие мер по поддержке социального предпринимательства, реализуемых в рамках муниципальной программы по поддержке малого</w:t>
        <w:br/>
        <w:t>и среднего предпринимательства (получивших финансирование и имеющих кассовое исполнение в отчетном году)" (да/нет);</w:t>
      </w:r>
    </w:p>
    <w:p>
      <w:pPr>
        <w:pStyle w:val="Style22"/>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 "Наличие сформированного и размещенного на официальном сайте муниципального района Омской области реестра СОНКО – получателей поддержки" (да/нет);</w:t>
      </w:r>
    </w:p>
    <w:p>
      <w:pPr>
        <w:pStyle w:val="Style22"/>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 "Наличие на сайте муниципального района Омской области раздела</w:t>
        <w:br/>
        <w:t>по вопросам поддержки СОНКО" (да/нет).</w:t>
      </w:r>
    </w:p>
    <w:p>
      <w:pPr>
        <w:pStyle w:val="Style22"/>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2. Наличие инфраструктуры поддержки СОНКО, содействие</w:t>
        <w:br/>
        <w:t>ее формированию:</w:t>
      </w:r>
    </w:p>
    <w:p>
      <w:pPr>
        <w:pStyle w:val="Style22"/>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 "Наличие инфраструктуры поддержки СОНКО (ресурсных центров поддержки СОНКО, добровольческих центров)" (да/нет);</w:t>
      </w:r>
    </w:p>
    <w:p>
      <w:pPr>
        <w:pStyle w:val="Style22"/>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 "Размер субсидий, предоставленных органом местного самоуправления Омской области ресурсным центрам поддержки СОНКО, добровольческим центрам (в том числе за счет субсидии из областного бюджета, предоставленной органу местного самоуправления муниципального района Омской области</w:t>
        <w:br/>
        <w:t>в отчетном году на указанные цели)" (рублей).</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3. </w:t>
      </w:r>
      <w:r>
        <w:rPr>
          <w:rFonts w:cs="Times New Roman" w:ascii="Times New Roman" w:hAnsi="Times New Roman"/>
          <w:color w:val="000000"/>
          <w:sz w:val="28"/>
          <w:szCs w:val="28"/>
        </w:rPr>
        <w:t>Имущественная поддержка СОНКО:</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rPr>
        <w:t>- </w:t>
      </w:r>
      <w:r>
        <w:rPr>
          <w:rFonts w:cs="Times New Roman" w:ascii="Times New Roman" w:hAnsi="Times New Roman"/>
          <w:color w:val="000000"/>
          <w:sz w:val="28"/>
          <w:szCs w:val="28"/>
          <w:lang w:val="ru-RU"/>
        </w:rPr>
        <w:t>"</w:t>
      </w:r>
      <w:r>
        <w:rPr>
          <w:rFonts w:cs="Times New Roman" w:ascii="Times New Roman" w:hAnsi="Times New Roman"/>
          <w:color w:val="000000"/>
          <w:sz w:val="28"/>
          <w:szCs w:val="28"/>
        </w:rPr>
        <w:t>Наличие перечня муниципального имущества, свободного от прав третьих лиц (за исключением имущественных прав некоммерческих организаций), сформированного и размещенного на официальном сайте муниципального района Омской области в целях предоставления данного имущества во владение и (или)</w:t>
        <w:br/>
        <w:t>в пользование на долгосрочной основе (в том числе по льготным ставкам арендной платы) СОНКО</w:t>
      </w:r>
      <w:r>
        <w:rPr>
          <w:rFonts w:cs="Times New Roman" w:ascii="Times New Roman" w:hAnsi="Times New Roman"/>
          <w:color w:val="000000"/>
          <w:sz w:val="28"/>
          <w:szCs w:val="28"/>
          <w:lang w:val="ru-RU"/>
        </w:rPr>
        <w:t>"</w:t>
      </w:r>
      <w:r>
        <w:rPr>
          <w:rFonts w:cs="Times New Roman" w:ascii="Times New Roman" w:hAnsi="Times New Roman"/>
          <w:color w:val="000000"/>
          <w:sz w:val="28"/>
          <w:szCs w:val="28"/>
        </w:rPr>
        <w:t xml:space="preserve"> </w:t>
      </w:r>
      <w:r>
        <w:rPr>
          <w:rFonts w:cs="Times New Roman" w:ascii="Times New Roman" w:hAnsi="Times New Roman"/>
          <w:color w:val="000000"/>
          <w:sz w:val="28"/>
          <w:szCs w:val="28"/>
          <w:lang w:val="ru-RU"/>
        </w:rPr>
        <w:t>(</w:t>
      </w:r>
      <w:r>
        <w:rPr>
          <w:rFonts w:cs="Times New Roman" w:ascii="Times New Roman" w:hAnsi="Times New Roman"/>
          <w:color w:val="000000"/>
          <w:sz w:val="28"/>
          <w:szCs w:val="28"/>
        </w:rPr>
        <w:t>да/нет</w:t>
      </w:r>
      <w:r>
        <w:rPr>
          <w:rFonts w:cs="Times New Roman" w:ascii="Times New Roman" w:hAnsi="Times New Roman"/>
          <w:color w:val="000000"/>
          <w:sz w:val="28"/>
          <w:szCs w:val="28"/>
          <w:lang w:val="ru-RU"/>
        </w:rPr>
        <w:t>);</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 "</w:t>
      </w:r>
      <w:r>
        <w:rPr>
          <w:rFonts w:cs="Times New Roman" w:ascii="Times New Roman" w:hAnsi="Times New Roman"/>
          <w:color w:val="000000"/>
          <w:sz w:val="28"/>
          <w:szCs w:val="28"/>
        </w:rPr>
        <w:t>Количество действующих договоров аренды (на льготных условиях)</w:t>
        <w:br/>
        <w:t>и безвозмездного пользования муниципальным имуществом, заключенных</w:t>
        <w:br/>
        <w:t>с СОНКО (по состоянию на 31 декабря отчетного года)</w:t>
      </w:r>
      <w:r>
        <w:rPr>
          <w:rFonts w:cs="Times New Roman" w:ascii="Times New Roman" w:hAnsi="Times New Roman"/>
          <w:color w:val="000000"/>
          <w:sz w:val="28"/>
          <w:szCs w:val="28"/>
          <w:lang w:val="ru-RU"/>
        </w:rPr>
        <w:t>"</w:t>
      </w:r>
      <w:r>
        <w:rPr>
          <w:rFonts w:cs="Times New Roman" w:ascii="Times New Roman" w:hAnsi="Times New Roman"/>
          <w:color w:val="000000"/>
          <w:sz w:val="28"/>
          <w:szCs w:val="28"/>
        </w:rPr>
        <w:t xml:space="preserve"> </w:t>
      </w:r>
      <w:r>
        <w:rPr>
          <w:rFonts w:cs="Times New Roman" w:ascii="Times New Roman" w:hAnsi="Times New Roman"/>
          <w:color w:val="000000"/>
          <w:sz w:val="28"/>
          <w:szCs w:val="28"/>
          <w:lang w:val="ru-RU"/>
        </w:rPr>
        <w:t>(</w:t>
      </w:r>
      <w:r>
        <w:rPr>
          <w:rFonts w:cs="Times New Roman" w:ascii="Times New Roman" w:hAnsi="Times New Roman"/>
          <w:color w:val="000000"/>
          <w:sz w:val="28"/>
          <w:szCs w:val="28"/>
        </w:rPr>
        <w:t>единиц</w:t>
      </w:r>
      <w:r>
        <w:rPr>
          <w:rFonts w:cs="Times New Roman" w:ascii="Times New Roman" w:hAnsi="Times New Roman"/>
          <w:color w:val="000000"/>
          <w:sz w:val="28"/>
          <w:szCs w:val="28"/>
          <w:lang w:val="ru-RU"/>
        </w:rPr>
        <w:t>);</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lang w:val="ru-RU"/>
        </w:rPr>
        <w:t>- "</w:t>
      </w:r>
      <w:r>
        <w:rPr>
          <w:rFonts w:cs="Times New Roman" w:ascii="Times New Roman" w:hAnsi="Times New Roman"/>
          <w:color w:val="000000"/>
          <w:sz w:val="28"/>
          <w:szCs w:val="28"/>
        </w:rPr>
        <w:t>Количество СОНКО, с которыми заключены договоры аренды</w:t>
        <w:br/>
        <w:t>(на льготных условиях) и безвозмездного пользования муниципальным имуществом (по состоянию на 31 декабря отчетного года)" (единиц);</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rPr>
        <w:t>- "Средний срок пользования СОНКО помещениями, находящимися</w:t>
        <w:br/>
        <w:t>в муниципальной собственности" (месяцев).</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rPr>
        <w:t>4. Привлечение негосударственных организаций к оказанию услуг</w:t>
        <w:br/>
        <w:t>в социальной сфере:</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rPr>
        <w:t>- "Наличие в муниципальном районе Омской области совещательного органа (совета), к функциям которого отнесено рассмотрение вопросов поддержки СОНКО, обеспечения доступа негосударственных организаций к предоставлению услуг в социальной сфере" (да/нет)</w:t>
      </w:r>
      <w:r>
        <w:rPr>
          <w:rFonts w:cs="Times New Roman" w:ascii="Times New Roman" w:hAnsi="Times New Roman"/>
          <w:color w:val="000000"/>
          <w:sz w:val="28"/>
          <w:szCs w:val="28"/>
          <w:lang w:val="ru-RU"/>
        </w:rPr>
        <w:t>;</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rPr>
        <w:t>- "Наличие на территории муниципального района Омской области негосударственных организаций (в том числе СОНКО, индивидуальных предпринимателей), оказывающих услуги в сфере социального обслуживания" (единиц);</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rPr>
        <w:t>- "Наличие на территории муниципального района Омской области негосударственных организаций (в том числе СОНКО, индивидуальных предпринимателей), оказывающих услуги в сфере образования" (единиц);</w:t>
      </w:r>
    </w:p>
    <w:p>
      <w:pPr>
        <w:pStyle w:val="Style22"/>
        <w:tabs>
          <w:tab w:val="clear" w:pos="708"/>
          <w:tab w:val="left" w:pos="-2127" w:leader="none"/>
        </w:tabs>
        <w:spacing w:lineRule="auto" w:line="240" w:before="0" w:after="0"/>
        <w:ind w:firstLine="709" w:left="0" w:right="0"/>
        <w:contextualSpacing/>
        <w:jc w:val="both"/>
        <w:rPr>
          <w:rFonts w:ascii="Times New Roman" w:hAnsi="Times New Roman"/>
          <w:color w:val="000000"/>
        </w:rPr>
      </w:pPr>
      <w:r>
        <w:rPr>
          <w:rFonts w:cs="Times New Roman" w:ascii="Times New Roman" w:hAnsi="Times New Roman"/>
          <w:color w:val="000000"/>
          <w:sz w:val="28"/>
          <w:szCs w:val="28"/>
        </w:rPr>
        <w:t>- "Наличие на территории муниципального района Омской области негосударственных организаций (в том числе СОНКО, индивидуальных предпринимателей), оказывающих услуги в сфере физической культуры и спорта" (единиц)</w:t>
      </w:r>
      <w:r>
        <w:rPr>
          <w:rFonts w:cs="Times New Roman" w:ascii="Times New Roman" w:hAnsi="Times New Roman"/>
          <w:color w:val="000000"/>
          <w:sz w:val="28"/>
          <w:szCs w:val="28"/>
          <w:lang w:val="ru-RU"/>
        </w:rPr>
        <w:t>.</w:t>
      </w:r>
    </w:p>
    <w:p>
      <w:pPr>
        <w:pStyle w:val="Style22"/>
        <w:tabs>
          <w:tab w:val="clear" w:pos="708"/>
          <w:tab w:val="left" w:pos="-2127" w:leader="none"/>
        </w:tabs>
        <w:spacing w:lineRule="auto" w:line="240" w:before="0" w:after="0"/>
        <w:ind w:firstLine="851" w:left="0" w:right="0"/>
        <w:contextualSpacing/>
        <w:jc w:val="both"/>
        <w:rPr>
          <w:rFonts w:ascii="Times New Roman" w:hAnsi="Times New Roman"/>
          <w:color w:val="000000"/>
        </w:rPr>
      </w:pPr>
      <w:r>
        <w:rPr>
          <w:rFonts w:cs="Times New Roman" w:ascii="Times New Roman" w:hAnsi="Times New Roman"/>
          <w:color w:val="000000"/>
          <w:sz w:val="28"/>
          <w:szCs w:val="28"/>
          <w:lang w:val="ru-RU"/>
        </w:rPr>
        <w:t>5. Участие негосударственных организаций в федеральных грантовых конкурсах:</w:t>
      </w:r>
    </w:p>
    <w:p>
      <w:pPr>
        <w:pStyle w:val="Style22"/>
        <w:tabs>
          <w:tab w:val="clear" w:pos="708"/>
          <w:tab w:val="left" w:pos="-2127" w:leader="none"/>
        </w:tabs>
        <w:spacing w:lineRule="auto" w:line="240" w:before="0" w:after="0"/>
        <w:ind w:firstLine="851" w:left="0" w:right="0"/>
        <w:contextualSpacing/>
        <w:jc w:val="both"/>
        <w:rPr>
          <w:rFonts w:ascii="Times New Roman" w:hAnsi="Times New Roman"/>
          <w:color w:val="000000"/>
        </w:rPr>
      </w:pPr>
      <w:r>
        <w:rPr>
          <w:rFonts w:cs="Times New Roman" w:ascii="Times New Roman" w:hAnsi="Times New Roman"/>
          <w:color w:val="000000"/>
          <w:sz w:val="28"/>
          <w:szCs w:val="28"/>
          <w:lang w:val="ru-RU"/>
        </w:rPr>
        <w:t>- "Количество СОНКО, зарегистрированных на территории муниципального района Омской области, ставших в отчетном году победителями конкурсов на предоставление грантов Президента Российской Федерации</w:t>
        <w:br/>
        <w:t>на развитие гражданского общества" (единиц);</w:t>
      </w:r>
    </w:p>
    <w:p>
      <w:pPr>
        <w:pStyle w:val="Style22"/>
        <w:tabs>
          <w:tab w:val="clear" w:pos="708"/>
          <w:tab w:val="left" w:pos="-2127" w:leader="none"/>
        </w:tabs>
        <w:spacing w:lineRule="auto" w:line="240" w:before="0" w:after="0"/>
        <w:ind w:firstLine="851" w:left="0" w:right="0"/>
        <w:contextualSpacing/>
        <w:jc w:val="both"/>
        <w:rPr>
          <w:rFonts w:ascii="Times New Roman" w:hAnsi="Times New Roman"/>
          <w:color w:val="000000"/>
        </w:rPr>
      </w:pPr>
      <w:r>
        <w:rPr>
          <w:rFonts w:cs="Times New Roman" w:ascii="Times New Roman" w:hAnsi="Times New Roman"/>
          <w:color w:val="000000"/>
          <w:sz w:val="28"/>
          <w:szCs w:val="28"/>
          <w:lang w:val="ru-RU"/>
        </w:rPr>
        <w:t>- "Количество СОНКО, коммерческих организаций, индивидуальных предпринимателей, зарегистрированных на территории муниципального района Омской области, ставших в отчетном году победителями конкурсов</w:t>
        <w:br/>
        <w:t>на предоставление грантов Президента Российской Федерации на реализацию проектов в области культуры, искусства и креативных (творческих) индустрий" (единиц).</w:t>
      </w:r>
    </w:p>
    <w:p>
      <w:pPr>
        <w:pStyle w:val="Normal"/>
        <w:spacing w:lineRule="auto" w:line="240" w:before="0" w:after="0"/>
        <w:ind w:firstLine="709" w:left="0" w:right="0"/>
        <w:jc w:val="both"/>
        <w:rPr>
          <w:rFonts w:ascii="Times New Roman" w:hAnsi="Times New Roman"/>
          <w:color w:val="000000"/>
        </w:rPr>
      </w:pPr>
      <w:r>
        <w:rPr>
          <w:rFonts w:cs="Times New Roman" w:ascii="Times New Roman" w:hAnsi="Times New Roman"/>
          <w:color w:val="000000"/>
          <w:sz w:val="28"/>
          <w:szCs w:val="28"/>
        </w:rPr>
        <w:t>Рейтинговая оценка рассчитывалась путем суммирования баллов по каждому показателю рейтинговой оценки, умноженному на коэффициент значимости показателя рейтинговой оценки (далее – итоговая балльная оценка).</w:t>
      </w:r>
    </w:p>
    <w:p>
      <w:pPr>
        <w:pStyle w:val="Normal"/>
        <w:spacing w:lineRule="auto" w:line="240" w:before="0" w:after="0"/>
        <w:ind w:firstLine="709" w:left="0" w:right="0"/>
        <w:jc w:val="both"/>
        <w:rPr>
          <w:rFonts w:ascii="Times New Roman" w:hAnsi="Times New Roman"/>
          <w:color w:val="000000"/>
        </w:rPr>
      </w:pPr>
      <w:r>
        <w:rPr>
          <w:rFonts w:cs="Times New Roman" w:ascii="Times New Roman" w:hAnsi="Times New Roman"/>
          <w:color w:val="000000"/>
          <w:sz w:val="28"/>
          <w:szCs w:val="28"/>
        </w:rPr>
        <w:t xml:space="preserve">На основании итоговых балльных оценок произведено ранжирование органов местного самоуправления от наибольшего значения итоговой балльной оценки к наименьшему. </w:t>
      </w:r>
    </w:p>
    <w:p>
      <w:pPr>
        <w:pStyle w:val="Normal"/>
        <w:spacing w:lineRule="auto" w:line="240" w:before="0" w:after="0"/>
        <w:ind w:firstLine="709" w:left="0" w:right="0"/>
        <w:jc w:val="both"/>
        <w:rPr>
          <w:rFonts w:ascii="Times New Roman" w:hAnsi="Times New Roman"/>
          <w:color w:val="000000"/>
        </w:rPr>
      </w:pPr>
      <w:r>
        <w:rPr>
          <w:rFonts w:cs="Times New Roman" w:ascii="Times New Roman" w:hAnsi="Times New Roman"/>
          <w:color w:val="000000"/>
          <w:sz w:val="28"/>
          <w:szCs w:val="28"/>
        </w:rPr>
        <w:t xml:space="preserve">По итогам проведенного рейтинга 2024 года определены следующие лидеры: </w:t>
      </w:r>
    </w:p>
    <w:p>
      <w:pPr>
        <w:pStyle w:val="Normal"/>
        <w:spacing w:lineRule="auto" w:line="240" w:before="0" w:after="0"/>
        <w:ind w:firstLine="709" w:left="0" w:right="0"/>
        <w:jc w:val="both"/>
        <w:rPr>
          <w:rFonts w:ascii="Times New Roman" w:hAnsi="Times New Roman"/>
          <w:color w:val="000000"/>
        </w:rPr>
      </w:pPr>
      <w:r>
        <w:rPr>
          <w:rFonts w:cs="Times New Roman" w:ascii="Times New Roman" w:hAnsi="Times New Roman"/>
          <w:color w:val="000000"/>
          <w:sz w:val="28"/>
          <w:szCs w:val="28"/>
          <w:shd w:fill="auto" w:val="clear"/>
        </w:rPr>
        <w:t>- I место – Омский район (131,75 балла);</w:t>
      </w:r>
    </w:p>
    <w:p>
      <w:pPr>
        <w:pStyle w:val="Normal"/>
        <w:spacing w:lineRule="auto" w:line="240" w:before="0" w:after="0"/>
        <w:ind w:firstLine="709" w:left="0" w:right="0"/>
        <w:jc w:val="both"/>
        <w:rPr>
          <w:rFonts w:ascii="Times New Roman" w:hAnsi="Times New Roman"/>
          <w:color w:val="000000"/>
        </w:rPr>
      </w:pPr>
      <w:r>
        <w:rPr>
          <w:rFonts w:cs="Times New Roman" w:ascii="Times New Roman" w:hAnsi="Times New Roman"/>
          <w:color w:val="000000"/>
          <w:sz w:val="28"/>
          <w:szCs w:val="28"/>
          <w:shd w:fill="auto" w:val="clear"/>
        </w:rPr>
        <w:t>- II место – Называевский район (114,25 балла);</w:t>
      </w:r>
    </w:p>
    <w:p>
      <w:pPr>
        <w:pStyle w:val="Normal"/>
        <w:spacing w:lineRule="auto" w:line="240" w:before="0" w:after="0"/>
        <w:ind w:firstLine="709" w:left="0" w:right="0"/>
        <w:jc w:val="both"/>
        <w:rPr>
          <w:rFonts w:ascii="Times New Roman" w:hAnsi="Times New Roman"/>
          <w:color w:val="000000"/>
        </w:rPr>
      </w:pPr>
      <w:r>
        <w:rPr>
          <w:rFonts w:cs="Times New Roman" w:ascii="Times New Roman" w:hAnsi="Times New Roman"/>
          <w:color w:val="000000"/>
          <w:sz w:val="28"/>
          <w:szCs w:val="28"/>
          <w:shd w:fill="auto" w:val="clear"/>
        </w:rPr>
        <w:t>- III место – Таврический район (113,50 балла).</w:t>
      </w:r>
    </w:p>
    <w:p>
      <w:pPr>
        <w:pStyle w:val="Normal"/>
        <w:spacing w:lineRule="auto" w:line="240" w:before="0" w:after="0"/>
        <w:ind w:firstLine="709" w:left="0" w:right="0"/>
        <w:jc w:val="both"/>
        <w:rPr>
          <w:rFonts w:ascii="Times New Roman" w:hAnsi="Times New Roman"/>
          <w:color w:val="000000"/>
        </w:rPr>
      </w:pPr>
      <w:r>
        <w:rPr>
          <w:rFonts w:cs="Times New Roman" w:ascii="Times New Roman" w:hAnsi="Times New Roman"/>
          <w:color w:val="000000"/>
          <w:sz w:val="28"/>
          <w:szCs w:val="28"/>
          <w:shd w:fill="auto" w:val="clear"/>
        </w:rPr>
        <w:t>Также высокую оценку получили Исилькульский район – 4 место (112 баллов); Большереченский район – 5 место (111,50 балла).</w:t>
      </w:r>
    </w:p>
    <w:p>
      <w:pPr>
        <w:pStyle w:val="Normal"/>
        <w:spacing w:lineRule="auto" w:line="240" w:before="0" w:after="0"/>
        <w:ind w:firstLine="709" w:left="0" w:right="0"/>
        <w:jc w:val="both"/>
        <w:rPr>
          <w:rFonts w:ascii="Times New Roman" w:hAnsi="Times New Roman"/>
          <w:color w:val="000000"/>
        </w:rPr>
      </w:pPr>
      <w:r>
        <w:rPr>
          <w:rFonts w:eastAsia="Times New Roman" w:cs="Times New Roman" w:ascii="Times New Roman" w:hAnsi="Times New Roman"/>
          <w:color w:val="000000"/>
          <w:sz w:val="28"/>
          <w:szCs w:val="28"/>
          <w:shd w:fill="auto" w:val="clear"/>
          <w:lang w:eastAsia="ru-RU"/>
        </w:rPr>
        <w:t>По итогам 2024 года в регионе во всех муниципальных районах и городе Омске приняты муниципальные программы (подпрограммы) по поддержке СОНКО (это максимальное количество указанных подпрограмм начиная</w:t>
        <w:br/>
        <w:t>с 2017 года), что позволит занять Омской области высокие позиции по показателю "Доля муниципальных районов и городских округов, реализующих муниципальные программы (подпрограммы) по поддержке СОНКО (предусматривающих финансирование мероприятий по поддержке СОНКО</w:t>
        <w:br/>
        <w:t>и имеющих подтверждение кассового исполнения указанных мероприятий</w:t>
        <w:br/>
        <w:t>в отчетном году), в общем количестве муниципальных районов и городских округов в субъекте Российской Федерации, процентов" в рейтинге субъектов Российской Федерации, проводимом в соответствии с распоряжением Правительства Российской Федерации от 29 октября 2021 года № 3054-р.</w:t>
      </w:r>
    </w:p>
    <w:p>
      <w:pPr>
        <w:pStyle w:val="Normal"/>
        <w:spacing w:lineRule="auto" w:line="240" w:before="0" w:after="0"/>
        <w:ind w:firstLine="709" w:left="0" w:right="0"/>
        <w:jc w:val="both"/>
        <w:rPr>
          <w:rFonts w:ascii="Times New Roman" w:hAnsi="Times New Roman"/>
          <w:color w:val="000000"/>
        </w:rPr>
      </w:pPr>
      <w:r>
        <w:rPr>
          <w:rFonts w:eastAsia="Times New Roman" w:cs="Times New Roman" w:ascii="Times New Roman" w:hAnsi="Times New Roman"/>
          <w:color w:val="000000"/>
          <w:sz w:val="28"/>
          <w:szCs w:val="28"/>
          <w:shd w:fill="auto" w:val="clear"/>
          <w:lang w:eastAsia="ru-RU"/>
        </w:rPr>
        <w:t>Всего финансовая поддержка СОНКО оказывалась в 30 районах. Для сравнения: финансовая поддержка СОНКО в 2023 году осуществлялась</w:t>
        <w:br/>
        <w:t>в 28 районах, в 2022 году – в 22 районах, в 2021 году – в 24 районах.</w:t>
      </w:r>
    </w:p>
    <w:p>
      <w:pPr>
        <w:pStyle w:val="Normal"/>
        <w:spacing w:lineRule="auto" w:line="240" w:before="0" w:after="0"/>
        <w:ind w:firstLine="709" w:left="0" w:right="0"/>
        <w:jc w:val="both"/>
        <w:rPr>
          <w:rFonts w:ascii="Times New Roman" w:hAnsi="Times New Roman"/>
          <w:color w:val="000000"/>
        </w:rPr>
      </w:pPr>
      <w:r>
        <w:rPr>
          <w:rFonts w:eastAsia="Times New Roman" w:cs="Times New Roman" w:ascii="Times New Roman" w:hAnsi="Times New Roman"/>
          <w:color w:val="000000"/>
          <w:sz w:val="28"/>
          <w:szCs w:val="28"/>
          <w:shd w:fill="auto" w:val="clear"/>
          <w:lang w:eastAsia="ru-RU"/>
        </w:rPr>
        <w:t>В 2024 году в Знаменском и Павлоградском районах средства местного бюджета на поддержку СОНКО не направлялись (в 2023 году – Крутинский,</w:t>
        <w:br/>
        <w:t>Усть-Ишимский, Тарский; в 2022 году не осуществлялась финансовая поддержка из местного бюджета 4 районами (Крутинский, Павлоградский, Русско-Полянский, Тевризский)).</w:t>
      </w:r>
    </w:p>
    <w:p>
      <w:pPr>
        <w:pStyle w:val="Normal"/>
        <w:spacing w:lineRule="auto" w:line="240" w:before="0" w:after="0"/>
        <w:ind w:firstLine="709" w:left="0" w:right="0"/>
        <w:jc w:val="both"/>
        <w:rPr>
          <w:rFonts w:ascii="Times New Roman" w:hAnsi="Times New Roman"/>
          <w:color w:val="000000"/>
        </w:rPr>
      </w:pPr>
      <w:r>
        <w:rPr>
          <w:rFonts w:eastAsia="Times New Roman" w:cs="Times New Roman" w:ascii="Times New Roman" w:hAnsi="Times New Roman"/>
          <w:color w:val="000000"/>
          <w:sz w:val="28"/>
          <w:szCs w:val="28"/>
          <w:shd w:fill="auto" w:val="clear"/>
          <w:lang w:eastAsia="ru-RU"/>
        </w:rPr>
        <w:t>Всего на предоставление субсидий некоммерческим организациям были направлены средства местного бюджета в размере 16,6 млн руб</w:t>
      </w:r>
      <w:r>
        <w:rPr>
          <w:rFonts w:eastAsia="Times New Roman" w:cs="Times New Roman" w:ascii="Times New Roman" w:hAnsi="Times New Roman"/>
          <w:color w:val="000000"/>
          <w:sz w:val="28"/>
          <w:szCs w:val="28"/>
          <w:shd w:fill="auto" w:val="clear"/>
          <w:lang w:eastAsia="ru-RU"/>
        </w:rPr>
        <w:t>л</w:t>
      </w:r>
      <w:r>
        <w:rPr>
          <w:rFonts w:eastAsia="Times New Roman" w:cs="Times New Roman" w:ascii="Times New Roman" w:hAnsi="Times New Roman"/>
          <w:color w:val="000000"/>
          <w:sz w:val="28"/>
          <w:szCs w:val="28"/>
          <w:shd w:fill="auto" w:val="clear"/>
          <w:lang w:eastAsia="ru-RU"/>
        </w:rPr>
        <w:t>ей ( в 2023 году – 17,1 млн руб</w:t>
      </w:r>
      <w:r>
        <w:rPr>
          <w:rFonts w:eastAsia="Times New Roman" w:cs="Times New Roman" w:ascii="Times New Roman" w:hAnsi="Times New Roman"/>
          <w:color w:val="000000"/>
          <w:sz w:val="28"/>
          <w:szCs w:val="28"/>
          <w:shd w:fill="auto" w:val="clear"/>
          <w:lang w:eastAsia="ru-RU"/>
        </w:rPr>
        <w:t>л</w:t>
      </w:r>
      <w:r>
        <w:rPr>
          <w:rFonts w:eastAsia="Times New Roman" w:cs="Times New Roman" w:ascii="Times New Roman" w:hAnsi="Times New Roman"/>
          <w:color w:val="000000"/>
          <w:sz w:val="28"/>
          <w:szCs w:val="28"/>
          <w:shd w:fill="auto" w:val="clear"/>
          <w:lang w:eastAsia="ru-RU"/>
        </w:rPr>
        <w:t>ей, в 2022 году – 13,8 млн руб</w:t>
      </w:r>
      <w:r>
        <w:rPr>
          <w:rFonts w:eastAsia="Times New Roman" w:cs="Times New Roman" w:ascii="Times New Roman" w:hAnsi="Times New Roman"/>
          <w:color w:val="000000"/>
          <w:sz w:val="28"/>
          <w:szCs w:val="28"/>
          <w:shd w:fill="auto" w:val="clear"/>
          <w:lang w:eastAsia="ru-RU"/>
        </w:rPr>
        <w:t>л</w:t>
      </w:r>
      <w:r>
        <w:rPr>
          <w:rFonts w:eastAsia="Times New Roman" w:cs="Times New Roman" w:ascii="Times New Roman" w:hAnsi="Times New Roman"/>
          <w:color w:val="000000"/>
          <w:sz w:val="28"/>
          <w:szCs w:val="28"/>
          <w:shd w:fill="auto" w:val="clear"/>
          <w:lang w:eastAsia="ru-RU"/>
        </w:rPr>
        <w:t>ей).</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Число организаций – получателей финансовой поддержки составило</w:t>
        <w:br/>
        <w:t>102 СОНКО (в 2023 году – 106, в 2022 году – 98 СОНКО, в 2021 году – 80 СОНКО).</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Всеми районами формируются и размещаются на сайтах администраций реестры СОНКО – получателей поддержки. На сайтах 30 районов действуют разделы по вопросам поддержки СОНКО.</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По информации ОМС, в отчетном году в районах активно работали</w:t>
        <w:br/>
        <w:t>16 ресурсных центров по поддержке СОНКО, 7 из которых получили финансирование из районного бюджета. Всего на поддержку ресурсных центров</w:t>
        <w:br/>
        <w:t>в 2024 году ОМС было направлено порядка 342 тыс. руб.</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Профинансированные меры поддержки социального предпринимательства были предусмотрены в 23 районах Омской области.</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Имущественная поддержка районных СОНКО проанализирована</w:t>
        <w:br/>
        <w:t>на основании представленной информации по несколькими показателями.</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Перечни муниципального имущества для СОНКО утверждены</w:t>
        <w:br/>
        <w:t xml:space="preserve">в 20 районах. </w:t>
      </w:r>
      <w:r>
        <w:rPr>
          <w:rFonts w:cs="Times New Roman" w:ascii="Times New Roman" w:hAnsi="Times New Roman"/>
          <w:color w:val="000000"/>
          <w:sz w:val="28"/>
          <w:szCs w:val="28"/>
          <w:shd w:fill="auto" w:val="clear"/>
        </w:rPr>
        <w:t>В 2024 году в 28 районах действовали договоры аренды</w:t>
        <w:br/>
        <w:t>(на льготных условиях) и безвозмездного пользования муниципальным имуществом с СОНКО (в 2023 год</w:t>
      </w:r>
      <w:r>
        <w:rPr>
          <w:rFonts w:cs="Times New Roman" w:ascii="Times New Roman" w:hAnsi="Times New Roman"/>
          <w:color w:val="000000"/>
          <w:sz w:val="28"/>
          <w:szCs w:val="28"/>
          <w:shd w:fill="auto" w:val="clear"/>
        </w:rPr>
        <w:t>у</w:t>
      </w:r>
      <w:r>
        <w:rPr>
          <w:rFonts w:cs="Times New Roman" w:ascii="Times New Roman" w:hAnsi="Times New Roman"/>
          <w:color w:val="000000"/>
          <w:sz w:val="28"/>
          <w:szCs w:val="28"/>
          <w:shd w:fill="auto" w:val="clear"/>
        </w:rPr>
        <w:t xml:space="preserve"> – в 26 районах, в 2022 году – в 27 районах).</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Всего по состоянию на 31 декабря 2024 года действовали 95 указанных договоров, заключенных с 95 СОНКО (в 2023 году количество СОНКО,</w:t>
        <w:br/>
        <w:t>с которыми заключены договоры, – 84, в 2022 году – 77, в 2021 году – 76 СОНКО).</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Минимальный средний срок пользования СОНКО помещениями, находящимися в муниципальной собственности, составил</w:t>
        <w:br/>
        <w:t>11 месяцев, максимальный – 144 месяца.</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В 28 районах работают совещательные органы, целью которых является привлечение негосударственных организаций к оказанию услуг в социальной сфере.</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Районные СОНКО принимают участие в федеральных грантовых конкурсах.</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В отчетном году 8 СОНКО из 4 районов стали победителями в конкурсах</w:t>
        <w:br/>
        <w:t>на предоставление грантов Президента Российской Федерации на развитие гражданского общества. Тарский и Шербакульский районы лидируют по количеству СОНКО – победителей конкурса президентских грантов.</w:t>
      </w:r>
    </w:p>
    <w:p>
      <w:pPr>
        <w:pStyle w:val="Normal"/>
        <w:spacing w:lineRule="auto" w:line="240" w:before="0" w:after="0"/>
        <w:ind w:firstLine="709" w:left="0" w:right="0"/>
        <w:jc w:val="both"/>
        <w:rPr>
          <w:rFonts w:ascii="Times New Roman" w:hAnsi="Times New Roman"/>
          <w:color w:val="000000"/>
          <w:highlight w:val="none"/>
          <w:shd w:fill="auto" w:val="clear"/>
        </w:rPr>
      </w:pPr>
      <w:r>
        <w:rPr>
          <w:rFonts w:eastAsia="Times New Roman" w:cs="Times New Roman" w:ascii="Times New Roman" w:hAnsi="Times New Roman"/>
          <w:color w:val="000000"/>
          <w:sz w:val="28"/>
          <w:szCs w:val="28"/>
          <w:shd w:fill="auto" w:val="clear"/>
          <w:lang w:eastAsia="ru-RU"/>
        </w:rPr>
        <w:t>Количество СОНКО, коммерческих организаций, индивидуальных предпринимателей, зарегистрированных на территории районов, ставших</w:t>
        <w:br/>
        <w:t>в отчетном году победителями конкурсов на предоставление грантов Президента Российской Федерации на реализацию проектов в области культуры, искусства и креативных (творческих) индустрий, – 4 (по 2 СОНКО в Тарском</w:t>
        <w:br/>
        <w:t>и Шербакульском районах).</w:t>
      </w:r>
    </w:p>
    <w:sectPr>
      <w:headerReference w:type="default" r:id="rId2"/>
      <w:headerReference w:type="first" r:id="rId3"/>
      <w:type w:val="nextPage"/>
      <w:pgSz w:w="11906" w:h="16838"/>
      <w:pgMar w:left="1247" w:right="624" w:gutter="0" w:header="588" w:top="1151" w:footer="0" w:bottom="925"/>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Calibri">
    <w:charset w:val="01"/>
    <w:family w:val="roman"/>
    <w:pitch w:val="default"/>
  </w:font>
  <w:font w:name="Cambria">
    <w:charset w:val="01"/>
    <w:family w:val="roman"/>
    <w:pitch w:val="default"/>
  </w:font>
  <w:font w:name="Arial">
    <w:charset w:val="01"/>
    <w:family w:val="roman"/>
    <w:pitch w:val="default"/>
  </w:font>
  <w:font w:name="Times New Roman">
    <w:charset w:val="01"/>
    <w:family w:val="roman"/>
    <w:pitch w:val="default"/>
  </w:font>
  <w:font w:name="Courier New">
    <w:charset w:val="01"/>
    <w:family w:val="roman"/>
    <w:pitch w:val="default"/>
  </w:font>
  <w:font w:name="Wingdings">
    <w:charset w:val="01"/>
    <w:family w:val="roman"/>
    <w:pitch w:val="default"/>
  </w:font>
  <w:font w:name="Symbol">
    <w:charset w:val="01"/>
    <w:family w:val="roman"/>
    <w:pitch w:val="default"/>
  </w:font>
  <w:font w:name="Tahoma">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Times New Roman" w:hAnsi="Times New Roman"/>
        <w:sz w:val="24"/>
        <w:szCs w:val="24"/>
      </w:rPr>
    </w:pPr>
    <w:r>
      <w:rPr>
        <w:rFonts w:ascii="Times New Roman" w:hAnsi="Times New Roman"/>
        <w:sz w:val="24"/>
        <w:szCs w:val="24"/>
      </w:rPr>
      <w:fldChar w:fldCharType="begin"/>
    </w:r>
    <w:r>
      <w:rPr>
        <w:sz w:val="24"/>
        <w:szCs w:val="24"/>
        <w:rFonts w:ascii="Times New Roman" w:hAnsi="Times New Roman"/>
      </w:rPr>
      <w:instrText xml:space="preserve"> PAGE </w:instrText>
    </w:r>
    <w:r>
      <w:rPr>
        <w:sz w:val="24"/>
        <w:szCs w:val="24"/>
        <w:rFonts w:ascii="Times New Roman" w:hAnsi="Times New Roman"/>
      </w:rPr>
      <w:fldChar w:fldCharType="separate"/>
    </w:r>
    <w:r>
      <w:rPr>
        <w:sz w:val="24"/>
        <w:szCs w:val="24"/>
        <w:rFonts w:ascii="Times New Roman" w:hAnsi="Times New Roman"/>
      </w:rPr>
      <w:t>4</w:t>
    </w:r>
    <w:r>
      <w:rPr>
        <w:sz w:val="24"/>
        <w:szCs w:val="24"/>
        <w:rFonts w:ascii="Times New Roman" w:hAnsi="Times New Roman"/>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Astra Serif" w:hAnsi="PT Astra Serif" w:eastAsia="Tahoma" w:cs="Noto Sans Devanagari"/>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lineRule="auto" w:line="276" w:before="0" w:after="200"/>
      <w:jc w:val="left"/>
    </w:pPr>
    <w:rPr>
      <w:rFonts w:ascii="Calibri" w:hAnsi="Calibri" w:eastAsia="Calibri" w:cs="Times New Roman"/>
      <w:color w:val="auto"/>
      <w:kern w:val="0"/>
      <w:sz w:val="22"/>
      <w:szCs w:val="22"/>
      <w:lang w:val="ru-RU" w:eastAsia="zh-CN" w:bidi="ar-SA"/>
    </w:rPr>
  </w:style>
  <w:style w:type="paragraph" w:styleId="Heading1">
    <w:name w:val="Heading 1"/>
    <w:basedOn w:val="Normal"/>
    <w:next w:val="Normal"/>
    <w:qFormat/>
    <w:pPr>
      <w:keepNext w:val="true"/>
      <w:keepLines/>
      <w:numPr>
        <w:ilvl w:val="0"/>
        <w:numId w:val="2"/>
      </w:numPr>
      <w:spacing w:before="480" w:after="0"/>
      <w:outlineLvl w:val="0"/>
    </w:pPr>
    <w:rPr>
      <w:rFonts w:ascii="Cambria" w:hAnsi="Cambria" w:eastAsia="Times New Roman" w:cs="Cambria"/>
      <w:b/>
      <w:bCs/>
      <w:color w:val="365F91"/>
      <w:sz w:val="28"/>
      <w:szCs w:val="28"/>
      <w:lang w:val="ru-RU"/>
    </w:rPr>
  </w:style>
  <w:style w:type="paragraph" w:styleId="Heading4">
    <w:name w:val="Heading 4"/>
    <w:basedOn w:val="Style20"/>
    <w:next w:val="BodyText"/>
    <w:qFormat/>
    <w:pPr>
      <w:numPr>
        <w:ilvl w:val="3"/>
        <w:numId w:val="1"/>
      </w:numPr>
      <w:spacing w:before="120" w:after="120"/>
      <w:outlineLvl w:val="3"/>
    </w:pPr>
    <w:rPr>
      <w:b/>
      <w:bCs/>
      <w:i/>
      <w:iCs/>
      <w:sz w:val="26"/>
      <w:szCs w:val="26"/>
    </w:rPr>
  </w:style>
  <w:style w:type="character" w:styleId="WW8Num4z0">
    <w:name w:val="WW8Num4z0"/>
    <w:qFormat/>
    <w:rPr/>
  </w:style>
  <w:style w:type="character" w:styleId="WW8Num5z0">
    <w:name w:val="WW8Num5z0"/>
    <w:qFormat/>
    <w:rPr>
      <w:b w:val="false"/>
    </w:rPr>
  </w:style>
  <w:style w:type="character" w:styleId="WW8Num6z0">
    <w:name w:val="WW8Num6z0"/>
    <w:qFormat/>
    <w:rPr>
      <w:rFonts w:ascii="Arial" w:hAnsi="Arial" w:cs="Arial"/>
    </w:rPr>
  </w:style>
  <w:style w:type="character" w:styleId="WW8Num7z0">
    <w:name w:val="WW8Num7z0"/>
    <w:qFormat/>
    <w:rPr>
      <w:rFonts w:ascii="Arial" w:hAnsi="Arial" w:cs="Arial"/>
    </w:rPr>
  </w:style>
  <w:style w:type="character" w:styleId="WW8Num9z0">
    <w:name w:val="WW8Num9z0"/>
    <w:qFormat/>
    <w:rPr>
      <w:rFonts w:ascii="Times New Roman" w:hAnsi="Times New Roman" w:eastAsia="Calibri"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style>
  <w:style w:type="character" w:styleId="WW8Num11z0">
    <w:name w:val="WW8Num11z0"/>
    <w:qFormat/>
    <w:rPr>
      <w:b w:val="false"/>
    </w:rPr>
  </w:style>
  <w:style w:type="character" w:styleId="WW8Num12z0">
    <w:name w:val="WW8Num12z0"/>
    <w:qFormat/>
    <w:rPr/>
  </w:style>
  <w:style w:type="character" w:styleId="Style12">
    <w:name w:val="Основной шрифт абзаца"/>
    <w:qFormat/>
    <w:rPr/>
  </w:style>
  <w:style w:type="character" w:styleId="1">
    <w:name w:val="Заголовок 1 Знак"/>
    <w:qFormat/>
    <w:rPr>
      <w:rFonts w:ascii="Cambria" w:hAnsi="Cambria" w:eastAsia="Times New Roman" w:cs="Times New Roman"/>
      <w:b/>
      <w:bCs/>
      <w:color w:val="365F91"/>
      <w:sz w:val="28"/>
      <w:szCs w:val="28"/>
    </w:rPr>
  </w:style>
  <w:style w:type="character" w:styleId="Style13">
    <w:name w:val="Верхний колонтитул Знак"/>
    <w:basedOn w:val="Style12"/>
    <w:qFormat/>
    <w:rPr/>
  </w:style>
  <w:style w:type="character" w:styleId="Style14">
    <w:name w:val="Нижний колонтитул Знак"/>
    <w:qFormat/>
    <w:rPr>
      <w:sz w:val="22"/>
      <w:szCs w:val="22"/>
    </w:rPr>
  </w:style>
  <w:style w:type="character" w:styleId="Normaltextrunscxw84633811">
    <w:name w:val="normaltextrun scxw84633811"/>
    <w:basedOn w:val="Style12"/>
    <w:qFormat/>
    <w:rPr/>
  </w:style>
  <w:style w:type="character" w:styleId="Eopscxw84633811">
    <w:name w:val="eop scxw84633811"/>
    <w:basedOn w:val="Style12"/>
    <w:qFormat/>
    <w:rPr/>
  </w:style>
  <w:style w:type="character" w:styleId="Contextualspellingandgrammarerrorscxw84633811">
    <w:name w:val="contextualspellingandgrammarerror scxw84633811"/>
    <w:basedOn w:val="Style12"/>
    <w:qFormat/>
    <w:rPr/>
  </w:style>
  <w:style w:type="character" w:styleId="Spellingerrorscxw84633811">
    <w:name w:val="spellingerror scxw84633811"/>
    <w:basedOn w:val="Style12"/>
    <w:qFormat/>
    <w:rPr/>
  </w:style>
  <w:style w:type="character" w:styleId="Style15">
    <w:name w:val="Текст выноски Знак"/>
    <w:qFormat/>
    <w:rPr>
      <w:rFonts w:ascii="Tahoma" w:hAnsi="Tahoma" w:cs="Tahoma"/>
      <w:sz w:val="16"/>
      <w:szCs w:val="16"/>
    </w:rPr>
  </w:style>
  <w:style w:type="character" w:styleId="Strong">
    <w:name w:val="Strong"/>
    <w:qFormat/>
    <w:rPr>
      <w:b/>
      <w:bCs/>
    </w:rPr>
  </w:style>
  <w:style w:type="character" w:styleId="Style16">
    <w:name w:val="Без интервала Знак"/>
    <w:qFormat/>
    <w:rPr>
      <w:sz w:val="22"/>
      <w:szCs w:val="22"/>
      <w:lang w:bidi="ar-SA"/>
    </w:rPr>
  </w:style>
  <w:style w:type="character" w:styleId="FontStyle19">
    <w:name w:val="Font Style19"/>
    <w:qFormat/>
    <w:rPr>
      <w:rFonts w:ascii="Times New Roman" w:hAnsi="Times New Roman" w:cs="Times New Roman"/>
      <w:b/>
      <w:bCs/>
      <w:sz w:val="26"/>
      <w:szCs w:val="26"/>
    </w:rPr>
  </w:style>
  <w:style w:type="character" w:styleId="FontStyle21">
    <w:name w:val="Font Style21"/>
    <w:qFormat/>
    <w:rPr>
      <w:rFonts w:ascii="Times New Roman" w:hAnsi="Times New Roman" w:cs="Times New Roman"/>
      <w:sz w:val="26"/>
      <w:szCs w:val="26"/>
    </w:rPr>
  </w:style>
  <w:style w:type="character" w:styleId="Normaltextrunscxw245687398">
    <w:name w:val="normaltextrun scxw245687398"/>
    <w:qFormat/>
    <w:rPr/>
  </w:style>
  <w:style w:type="character" w:styleId="2">
    <w:name w:val="Обычный (веб) Знак2"/>
    <w:qFormat/>
    <w:rPr>
      <w:rFonts w:ascii="Times New Roman" w:hAnsi="Times New Roman" w:eastAsia="Times New Roman" w:cs="Times New Roman"/>
      <w:sz w:val="24"/>
      <w:szCs w:val="24"/>
    </w:rPr>
  </w:style>
  <w:style w:type="character" w:styleId="Style17">
    <w:name w:val="Абзац списка Знак"/>
    <w:qFormat/>
    <w:rPr>
      <w:sz w:val="22"/>
      <w:szCs w:val="22"/>
    </w:rPr>
  </w:style>
  <w:style w:type="character" w:styleId="HTML">
    <w:name w:val="Стандартный HTML Знак"/>
    <w:qFormat/>
    <w:rPr>
      <w:rFonts w:ascii="Courier New" w:hAnsi="Courier New" w:eastAsia="Times New Roman" w:cs="Courier New"/>
    </w:rPr>
  </w:style>
  <w:style w:type="character" w:styleId="Hyperlink">
    <w:name w:val="Hyperlink"/>
    <w:rPr>
      <w:color w:val="0000FF"/>
      <w:u w:val="single"/>
    </w:rPr>
  </w:style>
  <w:style w:type="character" w:styleId="FontStyle20">
    <w:name w:val="Font Style20"/>
    <w:qFormat/>
    <w:rPr>
      <w:rFonts w:ascii="Times New Roman" w:hAnsi="Times New Roman" w:cs="Times New Roman"/>
      <w:sz w:val="26"/>
      <w:szCs w:val="26"/>
    </w:rPr>
  </w:style>
  <w:style w:type="character" w:styleId="Pt-a0">
    <w:name w:val="pt-a0"/>
    <w:basedOn w:val="Style12"/>
    <w:qFormat/>
    <w:rPr/>
  </w:style>
  <w:style w:type="character" w:styleId="Style18">
    <w:name w:val="Основной текст_"/>
    <w:qFormat/>
    <w:rPr>
      <w:rFonts w:ascii="Times New Roman" w:hAnsi="Times New Roman" w:eastAsia="Times New Roman" w:cs="Times New Roman"/>
      <w:sz w:val="26"/>
      <w:szCs w:val="26"/>
      <w:shd w:fill="FFFFFF" w:val="clear"/>
    </w:rPr>
  </w:style>
  <w:style w:type="character" w:styleId="Extendedtext-short">
    <w:name w:val="extendedtext-short"/>
    <w:basedOn w:val="Style12"/>
    <w:qFormat/>
    <w:rPr/>
  </w:style>
  <w:style w:type="character" w:styleId="Style19">
    <w:name w:val="Знак Знак"/>
    <w:qFormat/>
    <w:rPr>
      <w:rFonts w:ascii="Times New Roman" w:hAnsi="Times New Roman" w:eastAsia="Times New Roman" w:cs="Times New Roman"/>
      <w:color w:val="000000"/>
      <w:sz w:val="24"/>
      <w:szCs w:val="24"/>
      <w:lang w:eastAsia="zh-CN"/>
    </w:rPr>
  </w:style>
  <w:style w:type="character" w:styleId="DefaultParagraphFont">
    <w:name w:val="Default Paragraph Font"/>
    <w:qFormat/>
    <w:rPr/>
  </w:style>
  <w:style w:type="character" w:styleId="11">
    <w:name w:val="Основной текст1"/>
    <w:basedOn w:val="DefaultParagraphFont"/>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6"/>
      <w:szCs w:val="26"/>
      <w:u w:val="none"/>
      <w:lang w:val="ru-RU" w:eastAsia="ru-RU" w:bidi="ru-RU"/>
    </w:rPr>
  </w:style>
  <w:style w:type="character" w:styleId="DefaultParagraphFont0">
    <w:name w:val="Default Paragraph Font_0"/>
    <w:qFormat/>
    <w:rPr/>
  </w:style>
  <w:style w:type="character" w:styleId="FollowedHyperlink">
    <w:name w:val="FollowedHyperlink"/>
    <w:basedOn w:val="DefaultParagraphFont0"/>
    <w:rPr>
      <w:color w:val="800080"/>
      <w:u w:val="single"/>
    </w:rPr>
  </w:style>
  <w:style w:type="paragraph" w:styleId="Style20">
    <w:name w:val="Заголовок"/>
    <w:basedOn w:val="Normal"/>
    <w:next w:val="BodyText"/>
    <w:qFormat/>
    <w:pPr>
      <w:keepNext w:val="true"/>
      <w:spacing w:before="240" w:after="120"/>
    </w:pPr>
    <w:rPr>
      <w:rFonts w:ascii="PT Astra Serif" w:hAnsi="PT Astra Serif" w:eastAsia="Tahoma"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Style22">
    <w:name w:val="Абзац списка"/>
    <w:basedOn w:val="Normal"/>
    <w:qFormat/>
    <w:pPr>
      <w:spacing w:before="0" w:after="200"/>
      <w:ind w:hanging="0" w:left="720" w:right="0"/>
      <w:contextualSpacing/>
    </w:pPr>
    <w:rPr>
      <w:lang w:val="ru-RU"/>
    </w:rPr>
  </w:style>
  <w:style w:type="paragraph" w:styleId="Style23">
    <w:name w:val="Без интервала"/>
    <w:qFormat/>
    <w:pPr>
      <w:widowControl/>
      <w:suppressAutoHyphens w:val="true"/>
      <w:bidi w:val="0"/>
      <w:spacing w:before="0" w:after="0"/>
      <w:jc w:val="left"/>
    </w:pPr>
    <w:rPr>
      <w:rFonts w:ascii="Calibri" w:hAnsi="Calibri" w:eastAsia="Calibri" w:cs="Times New Roman"/>
      <w:color w:val="auto"/>
      <w:kern w:val="0"/>
      <w:sz w:val="22"/>
      <w:szCs w:val="22"/>
      <w:lang w:val="ru-RU" w:eastAsia="zh-CN" w:bidi="ar-SA"/>
    </w:rPr>
  </w:style>
  <w:style w:type="paragraph" w:styleId="Style24">
    <w:name w:val="Колонтитул"/>
    <w:basedOn w:val="Normal"/>
    <w:qFormat/>
    <w:pPr>
      <w:suppressLineNumbers/>
      <w:tabs>
        <w:tab w:val="clear" w:pos="708"/>
        <w:tab w:val="center" w:pos="4819" w:leader="none"/>
        <w:tab w:val="right" w:pos="9638" w:leader="none"/>
      </w:tabs>
    </w:pPr>
    <w:rPr/>
  </w:style>
  <w:style w:type="paragraph" w:styleId="Header">
    <w:name w:val="Header"/>
    <w:basedOn w:val="Normal"/>
    <w:pPr>
      <w:spacing w:lineRule="auto" w:line="240" w:before="0" w:after="0"/>
    </w:pPr>
    <w:rPr/>
  </w:style>
  <w:style w:type="paragraph" w:styleId="Footer">
    <w:name w:val="Footer"/>
    <w:basedOn w:val="Normal"/>
    <w:pPr>
      <w:tabs>
        <w:tab w:val="clear" w:pos="708"/>
        <w:tab w:val="center" w:pos="4677" w:leader="none"/>
        <w:tab w:val="right" w:pos="9355" w:leader="none"/>
      </w:tabs>
    </w:pPr>
    <w:rPr>
      <w:lang w:val="ru-RU"/>
    </w:rPr>
  </w:style>
  <w:style w:type="paragraph" w:styleId="Paragraphscxw84633811">
    <w:name w:val="paragraph scxw84633811"/>
    <w:basedOn w:val="Normal"/>
    <w:qFormat/>
    <w:pPr>
      <w:spacing w:lineRule="auto" w:line="240" w:before="280" w:after="280"/>
    </w:pPr>
    <w:rPr>
      <w:rFonts w:ascii="Times New Roman" w:hAnsi="Times New Roman" w:eastAsia="Times New Roman" w:cs="Times New Roman"/>
      <w:sz w:val="24"/>
      <w:szCs w:val="24"/>
    </w:rPr>
  </w:style>
  <w:style w:type="paragraph" w:styleId="Style25">
    <w:name w:val="Текст выноски"/>
    <w:basedOn w:val="Normal"/>
    <w:qFormat/>
    <w:pPr>
      <w:spacing w:lineRule="auto" w:line="240" w:before="0" w:after="0"/>
    </w:pPr>
    <w:rPr>
      <w:rFonts w:ascii="Tahoma" w:hAnsi="Tahoma" w:cs="Tahoma"/>
      <w:sz w:val="16"/>
      <w:szCs w:val="16"/>
      <w:lang w:val="ru-RU"/>
    </w:rPr>
  </w:style>
  <w:style w:type="paragraph" w:styleId="Style26">
    <w:name w:val="Обычный (веб)"/>
    <w:basedOn w:val="Normal"/>
    <w:qFormat/>
    <w:pPr>
      <w:spacing w:lineRule="auto" w:line="240" w:before="280" w:after="280"/>
    </w:pPr>
    <w:rPr>
      <w:rFonts w:ascii="Times New Roman" w:hAnsi="Times New Roman" w:eastAsia="Times New Roman" w:cs="Times New Roman"/>
      <w:sz w:val="24"/>
      <w:szCs w:val="24"/>
      <w:lang w:val="ru-RU"/>
    </w:rPr>
  </w:style>
  <w:style w:type="paragraph" w:styleId="Account01">
    <w:name w:val="account01"/>
    <w:basedOn w:val="Normal"/>
    <w:qFormat/>
    <w:pPr>
      <w:spacing w:lineRule="auto" w:line="240" w:before="280" w:after="280"/>
    </w:pPr>
    <w:rPr>
      <w:rFonts w:ascii="Times New Roman" w:hAnsi="Times New Roman" w:eastAsia="Times New Roman" w:cs="Times New Roman"/>
      <w:sz w:val="24"/>
      <w:szCs w:val="24"/>
    </w:rPr>
  </w:style>
  <w:style w:type="paragraph" w:styleId="ConsPlusTitlePage">
    <w:name w:val="ConsPlusTitlePage"/>
    <w:qFormat/>
    <w:pPr>
      <w:widowControl w:val="false"/>
      <w:suppressAutoHyphens w:val="true"/>
      <w:bidi w:val="0"/>
      <w:spacing w:before="0" w:after="0"/>
      <w:jc w:val="left"/>
    </w:pPr>
    <w:rPr>
      <w:rFonts w:ascii="Tahoma" w:hAnsi="Tahoma" w:eastAsia="Times New Roman" w:cs="Tahoma"/>
      <w:color w:val="auto"/>
      <w:kern w:val="0"/>
      <w:sz w:val="20"/>
      <w:szCs w:val="20"/>
      <w:lang w:val="ru-RU" w:eastAsia="zh-CN" w:bidi="ar-SA"/>
    </w:rPr>
  </w:style>
  <w:style w:type="paragraph" w:styleId="Style41">
    <w:name w:val="Style4"/>
    <w:basedOn w:val="Normal"/>
    <w:qFormat/>
    <w:pPr>
      <w:widowControl w:val="false"/>
      <w:spacing w:lineRule="exact" w:line="317" w:before="0" w:after="0"/>
      <w:ind w:firstLine="288" w:left="0" w:right="0"/>
    </w:pPr>
    <w:rPr>
      <w:rFonts w:ascii="Times New Roman" w:hAnsi="Times New Roman" w:eastAsia="Times New Roman" w:cs="Times New Roman"/>
      <w:sz w:val="24"/>
      <w:szCs w:val="24"/>
    </w:rPr>
  </w:style>
  <w:style w:type="paragraph" w:styleId="Paragraphscxw245687398">
    <w:name w:val="paragraph scxw245687398"/>
    <w:basedOn w:val="Normal"/>
    <w:qFormat/>
    <w:pPr>
      <w:spacing w:lineRule="auto" w:line="240" w:before="280" w:after="280"/>
    </w:pPr>
    <w:rPr>
      <w:rFonts w:ascii="Times New Roman" w:hAnsi="Times New Roman" w:eastAsia="Times New Roman" w:cs="Times New Roman"/>
      <w:sz w:val="24"/>
      <w:szCs w:val="24"/>
    </w:rPr>
  </w:style>
  <w:style w:type="paragraph" w:styleId="ConsPlusNonformat">
    <w:name w:val="ConsPlusNonformat"/>
    <w:qFormat/>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HTML1">
    <w:name w:val="Стандартный HTML"/>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val="ru-RU"/>
    </w:rPr>
  </w:style>
  <w:style w:type="paragraph" w:styleId="ConsPlusTitle">
    <w:name w:val="ConsPlusTitle"/>
    <w:qFormat/>
    <w:pPr>
      <w:widowControl w:val="false"/>
      <w:suppressAutoHyphens w:val="true"/>
      <w:bidi w:val="0"/>
      <w:spacing w:before="0" w:after="0"/>
      <w:jc w:val="left"/>
    </w:pPr>
    <w:rPr>
      <w:rFonts w:ascii="Times New Roman" w:hAnsi="Times New Roman" w:eastAsia="Batang;바탕" w:cs="Times New Roman"/>
      <w:b/>
      <w:bCs/>
      <w:color w:val="auto"/>
      <w:kern w:val="0"/>
      <w:sz w:val="24"/>
      <w:szCs w:val="24"/>
      <w:lang w:val="ru-RU" w:eastAsia="ko-KR" w:bidi="ar-SA"/>
    </w:rPr>
  </w:style>
  <w:style w:type="paragraph" w:styleId="ConsPlusNormal">
    <w:name w:val="ConsPlusNormal"/>
    <w:qFormat/>
    <w:pPr>
      <w:widowControl w:val="false"/>
      <w:suppressAutoHyphens w:val="true"/>
      <w:bidi w:val="0"/>
      <w:spacing w:before="0" w:after="0"/>
      <w:jc w:val="left"/>
    </w:pPr>
    <w:rPr>
      <w:rFonts w:ascii="Calibri" w:hAnsi="Calibri" w:eastAsia="Times New Roman" w:cs="Calibri"/>
      <w:color w:val="auto"/>
      <w:kern w:val="0"/>
      <w:sz w:val="22"/>
      <w:szCs w:val="20"/>
      <w:lang w:val="ru-RU" w:eastAsia="zh-CN" w:bidi="ar-SA"/>
    </w:rPr>
  </w:style>
  <w:style w:type="paragraph" w:styleId="Default">
    <w:name w:val="Default"/>
    <w:qFormat/>
    <w:pPr>
      <w:widowControl/>
      <w:suppressAutoHyphens w:val="true"/>
      <w:bidi w:val="0"/>
      <w:spacing w:before="0" w:after="0"/>
      <w:jc w:val="left"/>
    </w:pPr>
    <w:rPr>
      <w:rFonts w:ascii="Times New Roman" w:hAnsi="Times New Roman" w:eastAsia="Calibri" w:cs="Times New Roman"/>
      <w:color w:val="000000"/>
      <w:kern w:val="0"/>
      <w:sz w:val="24"/>
      <w:szCs w:val="24"/>
      <w:lang w:val="ru-RU" w:eastAsia="zh-CN" w:bidi="ar-SA"/>
    </w:rPr>
  </w:style>
  <w:style w:type="paragraph" w:styleId="21">
    <w:name w:val="Основной текст2"/>
    <w:basedOn w:val="Normal"/>
    <w:qFormat/>
    <w:pPr>
      <w:widowControl w:val="false"/>
      <w:shd w:val="clear" w:fill="FFFFFF"/>
      <w:spacing w:lineRule="exact" w:line="317" w:before="0" w:after="0"/>
    </w:pPr>
    <w:rPr>
      <w:rFonts w:ascii="Times New Roman" w:hAnsi="Times New Roman" w:eastAsia="Times New Roman" w:cs="Times New Roman"/>
      <w:sz w:val="26"/>
      <w:szCs w:val="26"/>
      <w:lang w:val="ru-RU"/>
    </w:rPr>
  </w:style>
  <w:style w:type="paragraph" w:styleId="ConsNormal">
    <w:name w:val="ConsNormal"/>
    <w:qFormat/>
    <w:pPr>
      <w:widowControl w:val="false"/>
      <w:suppressAutoHyphens w:val="true"/>
      <w:bidi w:val="0"/>
      <w:spacing w:before="0" w:after="0"/>
      <w:ind w:firstLine="720" w:left="0" w:right="19772"/>
      <w:jc w:val="left"/>
    </w:pPr>
    <w:rPr>
      <w:rFonts w:ascii="Arial" w:hAnsi="Arial" w:eastAsia="Times New Roman" w:cs="Arial"/>
      <w:color w:val="auto"/>
      <w:kern w:val="0"/>
      <w:sz w:val="22"/>
      <w:szCs w:val="20"/>
      <w:lang w:val="ru-RU" w:eastAsia="zh-CN" w:bidi="ar-SA"/>
    </w:rPr>
  </w:style>
  <w:style w:type="paragraph" w:styleId="12">
    <w:name w:val="Обычный1"/>
    <w:qFormat/>
    <w:pPr>
      <w:widowControl/>
      <w:suppressAutoHyphens w:val="true"/>
      <w:bidi w:val="0"/>
      <w:spacing w:before="0" w:after="0"/>
      <w:contextualSpacing/>
      <w:jc w:val="left"/>
    </w:pPr>
    <w:rPr>
      <w:rFonts w:ascii="Arial" w:hAnsi="Arial" w:eastAsia="Calibri" w:cs="Arial"/>
      <w:color w:val="auto"/>
      <w:kern w:val="0"/>
      <w:sz w:val="24"/>
      <w:szCs w:val="24"/>
      <w:lang w:val="ru-RU" w:eastAsia="zh-CN" w:bidi="ar-SA"/>
    </w:rPr>
  </w:style>
  <w:style w:type="paragraph" w:styleId="Style27">
    <w:name w:val="основной текст методрекомендаций"/>
    <w:basedOn w:val="Normal"/>
    <w:qFormat/>
    <w:pPr>
      <w:spacing w:lineRule="auto" w:line="240" w:before="0" w:after="0"/>
      <w:ind w:firstLine="708" w:left="0" w:right="0"/>
      <w:jc w:val="both"/>
    </w:pPr>
    <w:rPr>
      <w:rFonts w:ascii="Times New Roman" w:hAnsi="Times New Roman" w:eastAsia="Times New Roman" w:cs="Times New Roman"/>
      <w:color w:val="000000"/>
      <w:sz w:val="28"/>
      <w:szCs w:val="28"/>
    </w:rPr>
  </w:style>
  <w:style w:type="paragraph" w:styleId="Western">
    <w:name w:val="western"/>
    <w:basedOn w:val="Normal"/>
    <w:qFormat/>
    <w:pPr>
      <w:spacing w:before="280" w:after="142"/>
    </w:pPr>
    <w:rPr>
      <w:rFonts w:ascii="Times New Roman" w:hAnsi="Times New Roman" w:eastAsia="Times New Roman" w:cs="Times New Roman"/>
      <w:color w:val="000000"/>
      <w:sz w:val="24"/>
      <w:szCs w:val="24"/>
    </w:rPr>
  </w:style>
  <w:style w:type="paragraph" w:styleId="Style28">
    <w:name w:val="Содержимое таблицы"/>
    <w:basedOn w:val="Normal"/>
    <w:qFormat/>
    <w:pPr>
      <w:widowControl w:val="false"/>
      <w:suppressLineNumbers/>
    </w:pPr>
    <w:rPr/>
  </w:style>
  <w:style w:type="paragraph" w:styleId="Style29">
    <w:name w:val="Заголовок таблицы"/>
    <w:basedOn w:val="Style28"/>
    <w:qFormat/>
    <w:pPr>
      <w:suppressLineNumbers/>
      <w:jc w:val="center"/>
    </w:pPr>
    <w:rPr>
      <w:b/>
      <w:bCs/>
    </w:rPr>
  </w:style>
  <w:style w:type="paragraph" w:styleId="NormalWeb">
    <w:name w:val="Normal (Web)"/>
    <w:basedOn w:val="Normal"/>
    <w:qFormat/>
    <w:pPr>
      <w:spacing w:beforeAutospacing="1" w:afterAutospacing="1"/>
    </w:pPr>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2439</TotalTime>
  <Application>LibreOffice/7.6.7.2$Linux_X86_64 LibreOffice_project/60$Build-2</Application>
  <AppVersion>15.0000</AppVersion>
  <Pages>4</Pages>
  <Words>1192</Words>
  <Characters>8453</Characters>
  <CharactersWithSpaces>9623</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2022-03-15T15:33:00Z</dcterms:created>
  <dc:creator>Hewlett-Packard Company</dc:creator>
  <dc:description/>
  <dc:language>ru-RU</dc:language>
  <cp:lastModifiedBy/>
  <cp:lastPrinted>2025-06-04T13:52:45Z</cp:lastPrinted>
  <dcterms:modified xsi:type="dcterms:W3CDTF">2025-06-05T11:53:10Z</dcterms:modified>
  <cp:revision>206</cp:revision>
  <dc:subject/>
  <dc:title/>
</cp:coreProperties>
</file>

<file path=docProps/custom.xml><?xml version="1.0" encoding="utf-8"?>
<Properties xmlns="http://schemas.openxmlformats.org/officeDocument/2006/custom-properties" xmlns:vt="http://schemas.openxmlformats.org/officeDocument/2006/docPropsVTypes"/>
</file>